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cc009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7030a0"/>
          <w:rtl w:val="0"/>
        </w:rPr>
        <w:t xml:space="preserve"> Community Fund Advisory Committee Application Assessment</w:t>
      </w:r>
      <w:r w:rsidDel="00000000" w:rsidR="00000000" w:rsidRPr="00000000">
        <w:rPr>
          <w:rtl w:val="0"/>
        </w:rPr>
      </w:r>
    </w:p>
    <w:tbl>
      <w:tblPr>
        <w:tblStyle w:val="Table1"/>
        <w:tblW w:w="5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3335"/>
        <w:tblGridChange w:id="0">
          <w:tblGrid>
            <w:gridCol w:w="1795"/>
            <w:gridCol w:w="3335"/>
          </w:tblGrid>
        </w:tblGridChange>
      </w:tblGrid>
      <w:tr>
        <w:trPr>
          <w:trHeight w:val="42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Reviewer Name: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Eligibility Criteria </w:t>
      </w:r>
      <w:r w:rsidDel="00000000" w:rsidR="00000000" w:rsidRPr="00000000">
        <w:rPr>
          <w:b w:val="1"/>
          <w:rtl w:val="0"/>
        </w:rPr>
        <w:t xml:space="preserve">– </w:t>
      </w:r>
      <w:r w:rsidDel="00000000" w:rsidR="00000000" w:rsidRPr="00000000">
        <w:rPr>
          <w:rtl w:val="0"/>
        </w:rPr>
        <w:t xml:space="preserve">Applicants must meet all criteria below to be eligible: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"/>
        <w:gridCol w:w="7697"/>
        <w:gridCol w:w="1335"/>
        <w:tblGridChange w:id="0">
          <w:tblGrid>
            <w:gridCol w:w="328"/>
            <w:gridCol w:w="7697"/>
            <w:gridCol w:w="1335"/>
          </w:tblGrid>
        </w:tblGridChange>
      </w:tblGrid>
      <w:tr>
        <w:trPr>
          <w:trHeight w:val="35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Applicant is a resident of the town.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  <w:tab/>
              <w:t xml:space="preserve">No</w:t>
            </w:r>
          </w:p>
        </w:tc>
      </w:tr>
      <w:tr>
        <w:trPr>
          <w:trHeight w:val="225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Applicant is 14 years of age or older.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  <w:tab/>
              <w:t xml:space="preserve">No</w:t>
            </w:r>
          </w:p>
        </w:tc>
      </w:tr>
      <w:tr>
        <w:trPr>
          <w:trHeight w:val="323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If applicant is under 18 years of age, parental consent has been provided.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  <w:tab/>
              <w:t xml:space="preserve">No </w:t>
            </w:r>
          </w:p>
        </w:tc>
      </w:tr>
      <w:t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is not an elected official.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Assessment Criteria</w:t>
      </w:r>
      <w:r w:rsidDel="00000000" w:rsidR="00000000" w:rsidRPr="00000000">
        <w:rPr>
          <w:rtl w:val="0"/>
        </w:rPr>
        <w:t xml:space="preserve"> – Applicants who score the highest on the criteria below are ideal candidates:</w:t>
      </w:r>
    </w:p>
    <w:tbl>
      <w:tblPr>
        <w:tblStyle w:val="Table3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1710"/>
        <w:gridCol w:w="4860"/>
        <w:tblGridChange w:id="0">
          <w:tblGrid>
            <w:gridCol w:w="2790"/>
            <w:gridCol w:w="1710"/>
            <w:gridCol w:w="48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from 1 – 5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1= lowest 5=highest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rPr>
          <w:trHeight w:val="1133" w:hRule="atLeast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clearly communicates their interest in the Community Funds program.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demonstrates proactive leadership skills, a collaborative style, problem-solving savvy and/or other traits useful for group work.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2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can bring a new or unique perspective on behalf of the community, and/or a perspective not often represented in community discussions.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8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appears able to commit time to serve on the advisory committee.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The applicant will be able to appropriately manage their conflicts of interest.</w:t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(Answer N/A if uncertain.)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Score: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cc00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3" w:hRule="atLeast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Final Comments: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754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PmjNhS+z3kRq1KpTjpjVkuOEA==">AMUW2mUg4SOmZw85NFZssamBPkMhd8fPS9dln2iZ4cV5RVV4t69Ao5iE6qQNvqym3wyWKCeRa9G3oNTuTkKDVe1EDlwAVnosP2UaETqAdC4LhMfVo32psCOPVwBbwPn7GBeafX5l8zy0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2020-06-19T19:09:00Z</dcterms:created>
  <dc:creator>Kate Nicome</dc:creator>
</cp:coreProperties>
</file>